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342C50">
        <w:rPr>
          <w:rStyle w:val="SinespaciadoCar"/>
          <w:rFonts w:cs="Arial"/>
          <w:b/>
        </w:rPr>
        <w:t>No</w:t>
      </w:r>
      <w:r w:rsidR="00342C50" w:rsidRPr="004769EE">
        <w:rPr>
          <w:rStyle w:val="SinespaciadoCar"/>
          <w:rFonts w:cs="Arial"/>
          <w:b/>
        </w:rPr>
        <w:t xml:space="preserve">. 056 DE 2024 CÁMARA “POR LA CUAL SE </w:t>
      </w:r>
      <w:r w:rsidR="00342C50">
        <w:rPr>
          <w:rStyle w:val="SinespaciadoCar"/>
          <w:rFonts w:cs="Arial"/>
          <w:b/>
        </w:rPr>
        <w:t>PROHIBE LA DISMINUCIÓN DE</w:t>
      </w:r>
      <w:r w:rsidR="00342C50" w:rsidRPr="004769EE">
        <w:rPr>
          <w:rStyle w:val="SinespaciadoCar"/>
          <w:rFonts w:cs="Arial"/>
          <w:b/>
        </w:rPr>
        <w:t xml:space="preserve"> LOS REQUISITOS MÍNIMOS PARA ACCEDER A CARGOS DEL NIVEL DIRECTIVO EN EL SECTOR PÚBLICO Y EMPRESAS CON PARTICIPACIÓN ESTATAL, Y</w:t>
      </w:r>
      <w:r w:rsidR="00342C50">
        <w:rPr>
          <w:rStyle w:val="SinespaciadoCar"/>
          <w:rFonts w:cs="Arial"/>
          <w:b/>
        </w:rPr>
        <w:t xml:space="preserve"> SE DICTAN OTRAS DISPOSICIONES”</w:t>
      </w:r>
      <w:r w:rsidR="00342C50" w:rsidRPr="004769EE">
        <w:rPr>
          <w:rStyle w:val="SinespaciadoCar"/>
          <w:rFonts w:cs="Arial"/>
          <w:b/>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B64A8A">
        <w:rPr>
          <w:rFonts w:cs="Arial"/>
        </w:rPr>
        <w:t>2</w:t>
      </w:r>
      <w:r w:rsidR="00342C50">
        <w:rPr>
          <w:rFonts w:cs="Arial"/>
        </w:rPr>
        <w:t xml:space="preserve">9 de octubre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w:t>
      </w:r>
      <w:r w:rsidR="00342C50">
        <w:rPr>
          <w:rFonts w:cs="Arial"/>
        </w:rPr>
        <w:t>2</w:t>
      </w:r>
      <w:r w:rsidRPr="00552AD0">
        <w:rPr>
          <w:rFonts w:cs="Arial"/>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color w:val="000000"/>
        </w:rPr>
      </w:pP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B24398" w:rsidRPr="0003073E" w:rsidRDefault="00B24398" w:rsidP="00B24398">
      <w:pPr>
        <w:pStyle w:val="Sinespaciado"/>
        <w:rPr>
          <w:rFonts w:cs="Arial"/>
        </w:rPr>
      </w:pPr>
      <w:r w:rsidRPr="0003073E">
        <w:rPr>
          <w:rFonts w:cs="Arial"/>
          <w:b/>
        </w:rPr>
        <w:t>Artículo 1.</w:t>
      </w:r>
      <w:r w:rsidRPr="0003073E">
        <w:rPr>
          <w:rFonts w:cs="Arial"/>
        </w:rPr>
        <w:t xml:space="preserve"> </w:t>
      </w:r>
      <w:r w:rsidRPr="0003073E">
        <w:rPr>
          <w:rFonts w:cs="Arial"/>
          <w:b/>
        </w:rPr>
        <w:t xml:space="preserve">Objeto de la ley: </w:t>
      </w:r>
      <w:r w:rsidRPr="0003073E">
        <w:rPr>
          <w:rFonts w:cs="Arial"/>
        </w:rPr>
        <w:t xml:space="preserve">La presente ley tiene por objeto prohibir la disminución individual de </w:t>
      </w:r>
      <w:r w:rsidR="008C5FE6">
        <w:rPr>
          <w:rFonts w:cs="Arial"/>
        </w:rPr>
        <w:t xml:space="preserve">requisitos </w:t>
      </w:r>
      <w:r w:rsidRPr="0003073E">
        <w:rPr>
          <w:rFonts w:cs="Arial"/>
        </w:rPr>
        <w:t xml:space="preserve">mínimos, para acceder a cargos del nivel directivo en el sector público del orden nacional o hacer parte de juntas directivas en empresas con participación estatal. </w:t>
      </w:r>
    </w:p>
    <w:p w:rsidR="008C5FE6" w:rsidRDefault="008C5FE6" w:rsidP="00B24398">
      <w:pPr>
        <w:pStyle w:val="Sinespaciado"/>
        <w:rPr>
          <w:rFonts w:cs="Arial"/>
        </w:rPr>
      </w:pPr>
    </w:p>
    <w:p w:rsidR="00B24398" w:rsidRPr="0003073E" w:rsidRDefault="00B24398" w:rsidP="00B24398">
      <w:pPr>
        <w:pStyle w:val="Sinespaciado"/>
        <w:rPr>
          <w:rFonts w:cs="Arial"/>
        </w:rPr>
      </w:pPr>
      <w:r w:rsidRPr="0003073E">
        <w:rPr>
          <w:rFonts w:cs="Arial"/>
          <w:b/>
        </w:rPr>
        <w:t>Artículo 2.</w:t>
      </w:r>
      <w:r w:rsidRPr="0003073E">
        <w:rPr>
          <w:rFonts w:cs="Arial"/>
        </w:rPr>
        <w:t xml:space="preserve"> En virtud de lo dispuesto en la Ley 909 de 2004 y desarrollado por los decretos ley 1083 de 2015 y 2489 de 2006, y demás normas que los sustituyan o modifiquen; </w:t>
      </w:r>
      <w:r w:rsidR="008C5FE6">
        <w:rPr>
          <w:rFonts w:cs="Arial"/>
        </w:rPr>
        <w:t xml:space="preserve">se prohíbe la disminución </w:t>
      </w:r>
      <w:r w:rsidRPr="0003073E">
        <w:rPr>
          <w:rFonts w:cs="Arial"/>
        </w:rPr>
        <w:t>de los requisitos mínimos habilitantes para acceder a cargos públicos del nivel directivo del orden nacional, o hacer parte de juntas directivas en empresas con participación estatal, no será posible disminuir las calidades técnicas ni profesionales</w:t>
      </w:r>
      <w:r w:rsidR="008C5FE6">
        <w:rPr>
          <w:rFonts w:cs="Arial"/>
        </w:rPr>
        <w:t xml:space="preserve"> del cargo</w:t>
      </w:r>
      <w:r w:rsidRPr="0003073E">
        <w:rPr>
          <w:rFonts w:cs="Arial"/>
        </w:rPr>
        <w:t>.</w:t>
      </w:r>
    </w:p>
    <w:p w:rsidR="008C5FE6" w:rsidRDefault="008C5FE6" w:rsidP="00B24398">
      <w:pPr>
        <w:pStyle w:val="Sinespaciado"/>
        <w:rPr>
          <w:rFonts w:cs="Arial"/>
        </w:rPr>
      </w:pPr>
      <w:bookmarkStart w:id="0" w:name="_GoBack"/>
      <w:bookmarkEnd w:id="0"/>
    </w:p>
    <w:p w:rsidR="00B24398" w:rsidRPr="0003073E" w:rsidRDefault="00B24398" w:rsidP="00B24398">
      <w:pPr>
        <w:pStyle w:val="Sinespaciado"/>
        <w:rPr>
          <w:rFonts w:cs="Arial"/>
        </w:rPr>
      </w:pPr>
      <w:r w:rsidRPr="0003073E">
        <w:rPr>
          <w:rFonts w:cs="Arial"/>
        </w:rPr>
        <w:t xml:space="preserve">Tampoco se podrán disminuir requisitos ni criterios técnicos, para habilitar el acceso al cargo, </w:t>
      </w:r>
      <w:r w:rsidR="008C5FE6">
        <w:rPr>
          <w:rFonts w:cs="Arial"/>
        </w:rPr>
        <w:t xml:space="preserve">por </w:t>
      </w:r>
      <w:r w:rsidRPr="0003073E">
        <w:rPr>
          <w:rFonts w:cs="Arial"/>
        </w:rPr>
        <w:t>unos inferiores al del funcionario que le antecedió en el cargo, o que hizo parte de la junta directiva inmediatamente anterior</w:t>
      </w:r>
    </w:p>
    <w:p w:rsidR="00B24398" w:rsidRPr="0003073E" w:rsidRDefault="00B24398" w:rsidP="00B24398">
      <w:pPr>
        <w:pStyle w:val="Sinespaciado"/>
        <w:rPr>
          <w:rFonts w:cs="Arial"/>
        </w:rPr>
      </w:pPr>
    </w:p>
    <w:p w:rsidR="00B24398" w:rsidRPr="0003073E" w:rsidRDefault="00B24398" w:rsidP="00B24398">
      <w:pPr>
        <w:pStyle w:val="Sinespaciado"/>
        <w:rPr>
          <w:rFonts w:cs="Arial"/>
        </w:rPr>
      </w:pPr>
      <w:r w:rsidRPr="0003073E">
        <w:rPr>
          <w:rFonts w:cs="Arial"/>
          <w:b/>
        </w:rPr>
        <w:t>Artículo 3.</w:t>
      </w:r>
      <w:r w:rsidRPr="0003073E">
        <w:rPr>
          <w:rFonts w:cs="Arial"/>
        </w:rPr>
        <w:t xml:space="preserve"> </w:t>
      </w:r>
      <w:r w:rsidRPr="0003073E">
        <w:rPr>
          <w:rFonts w:cs="Arial"/>
          <w:b/>
        </w:rPr>
        <w:t xml:space="preserve"> </w:t>
      </w:r>
      <w:r w:rsidRPr="0003073E">
        <w:rPr>
          <w:rFonts w:cs="Arial"/>
        </w:rPr>
        <w:t>Si la entidad establece, teniendo en cuenta las necesidades del servicio, sus objetivos u otros criterios técnicos, la necesidad de disminuir los requisitos mínimos habilitantes para acceder a cargos públicos del nivel directivo, o hacer parte de juntas directivas, previamente deberá elaborar estudios técnicos, además de contar con los emitidos por el Departamento Administrativo de la Función Pública para el caso en concreto, también deberá existir concepto previo de la Sala de Consulta y Servicio Civil del Consejo de Estado.</w:t>
      </w:r>
    </w:p>
    <w:p w:rsidR="00B24398" w:rsidRPr="0003073E" w:rsidRDefault="00B24398" w:rsidP="00B24398">
      <w:pPr>
        <w:pStyle w:val="Sinespaciado"/>
        <w:rPr>
          <w:rFonts w:cs="Arial"/>
        </w:rPr>
      </w:pPr>
    </w:p>
    <w:p w:rsidR="00B24398" w:rsidRPr="0003073E" w:rsidRDefault="00B24398" w:rsidP="00B24398">
      <w:pPr>
        <w:pStyle w:val="Sinespaciado"/>
        <w:rPr>
          <w:rFonts w:cs="Arial"/>
        </w:rPr>
      </w:pPr>
      <w:r w:rsidRPr="0003073E">
        <w:rPr>
          <w:rFonts w:cs="Arial"/>
          <w:b/>
        </w:rPr>
        <w:t xml:space="preserve">Artículo 4. </w:t>
      </w:r>
      <w:r w:rsidRPr="0003073E">
        <w:rPr>
          <w:rFonts w:cs="Arial"/>
        </w:rPr>
        <w:t xml:space="preserve">El desconocimiento de lo ordenado en los artículos precedentes, será causal de falta disciplinaria gravísima, en concomitancia con el Articulo 39 numeral 34 de la Ley 1952 de 2019 y demás normas que la sustituyan o modifiquen. </w:t>
      </w:r>
    </w:p>
    <w:p w:rsidR="00B24398" w:rsidRPr="0003073E" w:rsidRDefault="00B24398" w:rsidP="00B24398">
      <w:pPr>
        <w:pStyle w:val="Sinespaciado"/>
        <w:rPr>
          <w:rFonts w:cs="Arial"/>
          <w:b/>
          <w:bCs/>
          <w:lang w:val="es-ES"/>
        </w:rPr>
      </w:pPr>
      <w:r w:rsidRPr="0003073E">
        <w:rPr>
          <w:rFonts w:cs="Arial"/>
        </w:rPr>
        <w:t xml:space="preserve">La Procuraduría General de la Nación, deberá adelantar de manera oficiosa o a petición de parte, las investigaciones disciplinarias atientes al marco regulatorio consagrado en la presente ley. </w:t>
      </w:r>
    </w:p>
    <w:p w:rsidR="00B24398" w:rsidRPr="0003073E" w:rsidRDefault="00B24398" w:rsidP="00B24398">
      <w:pPr>
        <w:pStyle w:val="Sinespaciado"/>
        <w:rPr>
          <w:rFonts w:cs="Arial"/>
          <w:lang w:val="es-ES"/>
        </w:rPr>
      </w:pPr>
    </w:p>
    <w:p w:rsidR="00B24398" w:rsidRPr="0003073E" w:rsidRDefault="00B24398" w:rsidP="00B24398">
      <w:pPr>
        <w:pStyle w:val="Sinespaciado"/>
        <w:rPr>
          <w:rFonts w:cs="Arial"/>
        </w:rPr>
      </w:pPr>
      <w:r w:rsidRPr="0003073E">
        <w:rPr>
          <w:rFonts w:cs="Arial"/>
          <w:b/>
        </w:rPr>
        <w:t xml:space="preserve">Artículo 5. </w:t>
      </w:r>
      <w:r w:rsidRPr="0003073E">
        <w:rPr>
          <w:rFonts w:cs="Arial"/>
        </w:rPr>
        <w:t xml:space="preserve">Adiciónese un numeral al artículo 55 de la Ley 1952 de 2019, con el siguiente texto.  </w:t>
      </w:r>
    </w:p>
    <w:p w:rsidR="00B24398" w:rsidRDefault="00B24398" w:rsidP="00B24398">
      <w:pPr>
        <w:pStyle w:val="Sinespaciado"/>
        <w:rPr>
          <w:rFonts w:cs="Arial"/>
          <w:b/>
        </w:rPr>
      </w:pPr>
    </w:p>
    <w:p w:rsidR="00B24398" w:rsidRPr="0003073E" w:rsidRDefault="00B24398" w:rsidP="00B24398">
      <w:pPr>
        <w:pStyle w:val="Sinespaciado"/>
        <w:rPr>
          <w:rFonts w:cs="Arial"/>
          <w:b/>
        </w:rPr>
      </w:pPr>
      <w:r w:rsidRPr="0003073E">
        <w:rPr>
          <w:rFonts w:cs="Arial"/>
          <w:b/>
        </w:rPr>
        <w:t xml:space="preserve">ARTÍCULO 55. FALTAS RELACIONADAS CON EL SERVICIO O LA FUNCIÓN PÚBLICA. </w:t>
      </w:r>
      <w:r w:rsidRPr="0003073E">
        <w:rPr>
          <w:rFonts w:cs="Arial"/>
        </w:rPr>
        <w:t xml:space="preserve">(…) </w:t>
      </w:r>
    </w:p>
    <w:p w:rsidR="00B24398" w:rsidRPr="0003073E" w:rsidRDefault="00B24398" w:rsidP="00B24398">
      <w:pPr>
        <w:pStyle w:val="Sinespaciado"/>
        <w:rPr>
          <w:rFonts w:cs="Arial"/>
        </w:rPr>
      </w:pPr>
      <w:r w:rsidRPr="0003073E">
        <w:rPr>
          <w:rFonts w:cs="Arial"/>
        </w:rPr>
        <w:lastRenderedPageBreak/>
        <w:t xml:space="preserve">13. Modificar </w:t>
      </w:r>
      <w:r w:rsidR="008C5FE6">
        <w:rPr>
          <w:rFonts w:cs="Arial"/>
        </w:rPr>
        <w:t>l</w:t>
      </w:r>
      <w:r w:rsidRPr="0003073E">
        <w:rPr>
          <w:rFonts w:cs="Arial"/>
        </w:rPr>
        <w:t>o</w:t>
      </w:r>
      <w:r w:rsidR="008C5FE6">
        <w:rPr>
          <w:rFonts w:cs="Arial"/>
        </w:rPr>
        <w:t>s</w:t>
      </w:r>
      <w:r w:rsidRPr="0003073E">
        <w:rPr>
          <w:rFonts w:cs="Arial"/>
        </w:rPr>
        <w:t xml:space="preserve"> requisitos individuales, disminuyendo los mínimos o estableciendo unos inferiores a quien le antecedió en el cargo, sin análisis de estudios técnicos y conceptos previos emitidos por la Función Pública y la Sala de Consulta y Servicio Civil del Consejo de Estado.</w:t>
      </w:r>
    </w:p>
    <w:p w:rsidR="00B24398" w:rsidRPr="0003073E" w:rsidRDefault="00B24398" w:rsidP="00B24398">
      <w:pPr>
        <w:pStyle w:val="Sinespaciado"/>
        <w:rPr>
          <w:rFonts w:cs="Arial"/>
        </w:rPr>
      </w:pPr>
    </w:p>
    <w:p w:rsidR="00B24398" w:rsidRDefault="00B24398" w:rsidP="00B24398">
      <w:pPr>
        <w:pStyle w:val="Sinespaciado"/>
        <w:rPr>
          <w:rFonts w:cs="Arial"/>
        </w:rPr>
      </w:pPr>
      <w:r w:rsidRPr="0003073E">
        <w:rPr>
          <w:rFonts w:cs="Arial"/>
          <w:b/>
        </w:rPr>
        <w:t>Artículo 6. VIGENCIA Y DEROGATORIAS</w:t>
      </w:r>
      <w:r w:rsidRPr="0003073E">
        <w:rPr>
          <w:rFonts w:cs="Arial"/>
        </w:rPr>
        <w:t>. La presente Ley rige a partir de su promulgación y deroga todas las disposiciones que le sean contrarias.</w:t>
      </w:r>
    </w:p>
    <w:p w:rsidR="00B24398" w:rsidRDefault="00B24398" w:rsidP="00B24398">
      <w:pPr>
        <w:pStyle w:val="Sinespaciado"/>
        <w:rPr>
          <w:rFonts w:cs="Arial"/>
        </w:rPr>
      </w:pPr>
    </w:p>
    <w:p w:rsidR="00B24398" w:rsidRDefault="00B24398" w:rsidP="00B24398">
      <w:pPr>
        <w:pStyle w:val="Sinespaciado"/>
        <w:rPr>
          <w:rFonts w:cs="Arial"/>
        </w:rPr>
      </w:pPr>
    </w:p>
    <w:p w:rsidR="00B24398" w:rsidRDefault="00B24398" w:rsidP="00B24398">
      <w:pPr>
        <w:pStyle w:val="Sinespaciado"/>
        <w:rPr>
          <w:rFonts w:cs="Arial"/>
        </w:rPr>
      </w:pPr>
    </w:p>
    <w:p w:rsidR="00B24398" w:rsidRDefault="00B24398" w:rsidP="00B24398">
      <w:pPr>
        <w:pStyle w:val="Sinespaciado"/>
        <w:rPr>
          <w:rFonts w:cs="Arial"/>
        </w:rPr>
      </w:pPr>
    </w:p>
    <w:p w:rsidR="00B24398" w:rsidRDefault="00B24398" w:rsidP="00B24398">
      <w:pPr>
        <w:pStyle w:val="Sinespaciado"/>
        <w:rPr>
          <w:rFonts w:cs="Arial"/>
        </w:rPr>
      </w:pPr>
    </w:p>
    <w:p w:rsidR="00B24398" w:rsidRDefault="00B24398" w:rsidP="00B24398">
      <w:pPr>
        <w:pStyle w:val="Sinespaciado"/>
        <w:rPr>
          <w:rFonts w:cs="Arial"/>
        </w:rPr>
      </w:pPr>
    </w:p>
    <w:p w:rsidR="00B24398" w:rsidRDefault="00B24398" w:rsidP="00B24398">
      <w:pPr>
        <w:pStyle w:val="Sinespaciado"/>
        <w:jc w:val="center"/>
        <w:rPr>
          <w:rFonts w:cs="Arial"/>
          <w:b/>
        </w:rPr>
      </w:pPr>
      <w:r w:rsidRPr="00B24398">
        <w:rPr>
          <w:rFonts w:cs="Arial"/>
          <w:b/>
        </w:rPr>
        <w:t>Jorge Alexander Quevedo Herrera</w:t>
      </w:r>
    </w:p>
    <w:p w:rsidR="00B24398" w:rsidRPr="00B24398" w:rsidRDefault="00B24398" w:rsidP="00B24398">
      <w:pPr>
        <w:pStyle w:val="Sinespaciado"/>
        <w:jc w:val="center"/>
        <w:rPr>
          <w:rFonts w:cs="Arial"/>
        </w:rPr>
      </w:pPr>
      <w:r>
        <w:rPr>
          <w:rFonts w:cs="Arial"/>
        </w:rPr>
        <w:t>Representante a la Cámara</w:t>
      </w:r>
    </w:p>
    <w:sectPr w:rsidR="00B24398" w:rsidRPr="00B24398" w:rsidSect="00A87926">
      <w:headerReference w:type="default" r:id="rId9"/>
      <w:footerReference w:type="default" r:id="rId10"/>
      <w:type w:val="continuous"/>
      <w:pgSz w:w="12240" w:h="15840" w:code="1"/>
      <w:pgMar w:top="1588" w:right="1191" w:bottom="567" w:left="1588"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AE" w:rsidRDefault="00A96EAE">
      <w:pPr>
        <w:spacing w:after="0" w:line="240" w:lineRule="auto"/>
      </w:pPr>
      <w:r>
        <w:separator/>
      </w:r>
    </w:p>
  </w:endnote>
  <w:endnote w:type="continuationSeparator" w:id="0">
    <w:p w:rsidR="00A96EAE" w:rsidRDefault="00A9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B24398">
      <w:rPr>
        <w:b/>
      </w:rPr>
      <w:t xml:space="preserve">No. </w:t>
    </w:r>
    <w:r w:rsidR="00A87926">
      <w:rPr>
        <w:b/>
      </w:rPr>
      <w:t>0</w:t>
    </w:r>
    <w:r w:rsidR="00B24398">
      <w:rPr>
        <w:b/>
      </w:rPr>
      <w:t>56</w:t>
    </w:r>
    <w:r w:rsidR="00A87926">
      <w:rPr>
        <w:b/>
      </w:rPr>
      <w:t xml:space="preserve"> </w:t>
    </w:r>
    <w:r>
      <w:rPr>
        <w:b/>
      </w:rPr>
      <w:t>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AE" w:rsidRDefault="00A96EAE">
      <w:pPr>
        <w:spacing w:after="0" w:line="240" w:lineRule="auto"/>
      </w:pPr>
      <w:r>
        <w:separator/>
      </w:r>
    </w:p>
  </w:footnote>
  <w:footnote w:type="continuationSeparator" w:id="0">
    <w:p w:rsidR="00A96EAE" w:rsidRDefault="00A9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B6B68"/>
    <w:multiLevelType w:val="hybridMultilevel"/>
    <w:tmpl w:val="88D82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DD6B05"/>
    <w:multiLevelType w:val="hybridMultilevel"/>
    <w:tmpl w:val="6A98C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9604968"/>
    <w:multiLevelType w:val="hybridMultilevel"/>
    <w:tmpl w:val="72908DFA"/>
    <w:lvl w:ilvl="0" w:tplc="437A1E24">
      <w:start w:val="1"/>
      <w:numFmt w:val="upp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8348FF"/>
    <w:multiLevelType w:val="hybridMultilevel"/>
    <w:tmpl w:val="D9065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501457"/>
    <w:multiLevelType w:val="hybridMultilevel"/>
    <w:tmpl w:val="B75E1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1"/>
  </w:num>
  <w:num w:numId="5">
    <w:abstractNumId w:val="11"/>
  </w:num>
  <w:num w:numId="6">
    <w:abstractNumId w:val="14"/>
  </w:num>
  <w:num w:numId="7">
    <w:abstractNumId w:val="0"/>
  </w:num>
  <w:num w:numId="8">
    <w:abstractNumId w:val="10"/>
  </w:num>
  <w:num w:numId="9">
    <w:abstractNumId w:val="24"/>
  </w:num>
  <w:num w:numId="10">
    <w:abstractNumId w:val="16"/>
  </w:num>
  <w:num w:numId="11">
    <w:abstractNumId w:val="2"/>
  </w:num>
  <w:num w:numId="12">
    <w:abstractNumId w:val="26"/>
  </w:num>
  <w:num w:numId="13">
    <w:abstractNumId w:val="22"/>
  </w:num>
  <w:num w:numId="14">
    <w:abstractNumId w:val="23"/>
  </w:num>
  <w:num w:numId="15">
    <w:abstractNumId w:val="18"/>
  </w:num>
  <w:num w:numId="16">
    <w:abstractNumId w:val="9"/>
  </w:num>
  <w:num w:numId="17">
    <w:abstractNumId w:val="17"/>
  </w:num>
  <w:num w:numId="18">
    <w:abstractNumId w:val="5"/>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3"/>
  </w:num>
  <w:num w:numId="25">
    <w:abstractNumId w:val="19"/>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5732"/>
    <w:rsid w:val="0014781D"/>
    <w:rsid w:val="001826C3"/>
    <w:rsid w:val="00193E1C"/>
    <w:rsid w:val="001B1C28"/>
    <w:rsid w:val="00245986"/>
    <w:rsid w:val="002A1BAF"/>
    <w:rsid w:val="00330383"/>
    <w:rsid w:val="00332B24"/>
    <w:rsid w:val="00342C50"/>
    <w:rsid w:val="00375224"/>
    <w:rsid w:val="00397E11"/>
    <w:rsid w:val="003C5D20"/>
    <w:rsid w:val="003D08DE"/>
    <w:rsid w:val="00484475"/>
    <w:rsid w:val="004B0124"/>
    <w:rsid w:val="005004BD"/>
    <w:rsid w:val="00523CF6"/>
    <w:rsid w:val="00533F5F"/>
    <w:rsid w:val="00552AD0"/>
    <w:rsid w:val="006020FC"/>
    <w:rsid w:val="0066551C"/>
    <w:rsid w:val="00676A02"/>
    <w:rsid w:val="00692982"/>
    <w:rsid w:val="006A6E52"/>
    <w:rsid w:val="006E594C"/>
    <w:rsid w:val="00705939"/>
    <w:rsid w:val="00780935"/>
    <w:rsid w:val="007D2959"/>
    <w:rsid w:val="008210E3"/>
    <w:rsid w:val="00837160"/>
    <w:rsid w:val="008614A6"/>
    <w:rsid w:val="008C5481"/>
    <w:rsid w:val="008C5FE6"/>
    <w:rsid w:val="008D2E0D"/>
    <w:rsid w:val="008D336A"/>
    <w:rsid w:val="008E2412"/>
    <w:rsid w:val="008E689B"/>
    <w:rsid w:val="00900D93"/>
    <w:rsid w:val="00980D46"/>
    <w:rsid w:val="00984A08"/>
    <w:rsid w:val="009A5477"/>
    <w:rsid w:val="009E1B8B"/>
    <w:rsid w:val="009E3F42"/>
    <w:rsid w:val="00A05C2A"/>
    <w:rsid w:val="00A10DC4"/>
    <w:rsid w:val="00A27D65"/>
    <w:rsid w:val="00A87926"/>
    <w:rsid w:val="00A96EAE"/>
    <w:rsid w:val="00AA5167"/>
    <w:rsid w:val="00AC09C4"/>
    <w:rsid w:val="00B068E0"/>
    <w:rsid w:val="00B24398"/>
    <w:rsid w:val="00B31264"/>
    <w:rsid w:val="00B4204B"/>
    <w:rsid w:val="00B47081"/>
    <w:rsid w:val="00B57363"/>
    <w:rsid w:val="00B64A8A"/>
    <w:rsid w:val="00BA6354"/>
    <w:rsid w:val="00BF5872"/>
    <w:rsid w:val="00BF5DE4"/>
    <w:rsid w:val="00C0783C"/>
    <w:rsid w:val="00C10A0F"/>
    <w:rsid w:val="00C136E7"/>
    <w:rsid w:val="00C24F1B"/>
    <w:rsid w:val="00CC78D3"/>
    <w:rsid w:val="00D16302"/>
    <w:rsid w:val="00D2044D"/>
    <w:rsid w:val="00D410FE"/>
    <w:rsid w:val="00DB0903"/>
    <w:rsid w:val="00DC1FF5"/>
    <w:rsid w:val="00E02D4A"/>
    <w:rsid w:val="00E2082D"/>
    <w:rsid w:val="00E27292"/>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24CE"/>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8543E2-D65A-4B78-9351-29201F5E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2024-10-29T21:27:00Z</dcterms:created>
  <dcterms:modified xsi:type="dcterms:W3CDTF">2024-10-29T21:44:00Z</dcterms:modified>
</cp:coreProperties>
</file>